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45F2" w14:textId="21085AFA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37E0A6EB" w:rsidR="00983317" w:rsidRPr="00BA5A02" w:rsidRDefault="005E589A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Queensland Police Service</w:t>
            </w:r>
            <w:r w:rsidR="009C48B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5A473D6C" w:rsidR="00983317" w:rsidRPr="008F5D85" w:rsidRDefault="008F5D85" w:rsidP="00071370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F5D85">
              <w:rPr>
                <w:rFonts w:ascii="Arial" w:hAnsi="Arial" w:cs="Arial"/>
                <w:i/>
                <w:iCs/>
                <w:sz w:val="20"/>
              </w:rPr>
              <w:t xml:space="preserve">Proclamation No. 2 </w:t>
            </w:r>
            <w:r>
              <w:rPr>
                <w:rFonts w:ascii="Arial" w:hAnsi="Arial" w:cs="Arial"/>
                <w:i/>
                <w:iCs/>
                <w:sz w:val="20"/>
              </w:rPr>
              <w:t>–</w:t>
            </w:r>
            <w:r w:rsidRPr="008F5D85">
              <w:rPr>
                <w:rFonts w:ascii="Arial" w:hAnsi="Arial" w:cs="Arial"/>
                <w:i/>
                <w:iCs/>
                <w:sz w:val="20"/>
              </w:rPr>
              <w:t xml:space="preserve"> Police Powers and Responsibilities and Other Legislation Amendment Act 2024 (commencing remaining provisions)</w:t>
            </w:r>
          </w:p>
        </w:tc>
      </w:tr>
      <w:tr w:rsidR="00983317" w:rsidRPr="00BA5A02" w14:paraId="0CA364F8" w14:textId="77777777" w:rsidTr="00F31198">
        <w:trPr>
          <w:trHeight w:val="433"/>
        </w:trPr>
        <w:tc>
          <w:tcPr>
            <w:tcW w:w="1701" w:type="pct"/>
            <w:vAlign w:val="center"/>
          </w:tcPr>
          <w:p w14:paraId="167AA3D4" w14:textId="326CD860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Submission type</w:t>
            </w:r>
          </w:p>
          <w:p w14:paraId="79EBC13F" w14:textId="0B626B6C" w:rsidR="00983317" w:rsidRPr="00BA5A02" w:rsidRDefault="00983317" w:rsidP="000713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99" w:type="pct"/>
            <w:vAlign w:val="center"/>
          </w:tcPr>
          <w:p w14:paraId="646187CB" w14:textId="21733304" w:rsidR="00983317" w:rsidRPr="00BA5A02" w:rsidRDefault="005E589A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IAS</w:t>
            </w: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32B5F61A" w:rsidR="00462F0C" w:rsidRPr="00C8580B" w:rsidRDefault="00C8580B" w:rsidP="00C8580B">
            <w:pPr>
              <w:rPr>
                <w:rFonts w:ascii="Times New Roman" w:hAnsi="Times New Roman"/>
                <w:i/>
                <w:szCs w:val="24"/>
              </w:rPr>
            </w:pPr>
            <w:r w:rsidRPr="00C8580B">
              <w:rPr>
                <w:rFonts w:asciiTheme="majorHAnsi" w:hAnsiTheme="majorHAnsi" w:cstheme="majorHAnsi"/>
                <w:i/>
                <w:sz w:val="20"/>
              </w:rPr>
              <w:t>Police Powers and Responsibilities and Other Legislation Amendment Act 2024</w:t>
            </w:r>
          </w:p>
        </w:tc>
      </w:tr>
      <w:tr w:rsidR="00983317" w:rsidRPr="00BA5A02" w14:paraId="4886411C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6F1D159A" w:rsidR="00983317" w:rsidRPr="00BA5A02" w:rsidRDefault="008F5D85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</w:t>
            </w:r>
            <w:r w:rsidR="00D218F7">
              <w:rPr>
                <w:rFonts w:ascii="Arial" w:hAnsi="Arial" w:cs="Arial"/>
                <w:sz w:val="20"/>
              </w:rPr>
              <w:t xml:space="preserve"> 2024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05FF6EAE" w14:textId="4297572F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</w:p>
    <w:p w14:paraId="3345BF63" w14:textId="0B770A97" w:rsidR="00983317" w:rsidRPr="00A7629D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61"/>
      </w:tblGrid>
      <w:tr w:rsidR="005E589A" w:rsidRPr="00BA5A02" w14:paraId="0DBEB257" w14:textId="77777777" w:rsidTr="00F31198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407736" w:rsidRPr="00BA5A02" w14:paraId="7211433E" w14:textId="77777777" w:rsidTr="00F31198">
        <w:trPr>
          <w:trHeight w:val="1071"/>
        </w:trPr>
        <w:tc>
          <w:tcPr>
            <w:tcW w:w="2127" w:type="dxa"/>
            <w:vAlign w:val="center"/>
          </w:tcPr>
          <w:p w14:paraId="5A5B3FD5" w14:textId="1BB16D92" w:rsidR="00983317" w:rsidRPr="00BA5A02" w:rsidRDefault="008F5D85" w:rsidP="002429BB">
            <w:pPr>
              <w:rPr>
                <w:rFonts w:ascii="Arial" w:hAnsi="Arial" w:cs="Arial"/>
                <w:b/>
                <w:iCs/>
                <w:sz w:val="20"/>
              </w:rPr>
            </w:pPr>
            <w:r w:rsidRPr="008F5D85">
              <w:rPr>
                <w:rFonts w:ascii="Arial" w:hAnsi="Arial" w:cs="Arial"/>
                <w:b/>
                <w:iCs/>
                <w:sz w:val="20"/>
              </w:rPr>
              <w:t>Minor and machinery in nature</w:t>
            </w:r>
          </w:p>
        </w:tc>
        <w:tc>
          <w:tcPr>
            <w:tcW w:w="7461" w:type="dxa"/>
            <w:vAlign w:val="center"/>
          </w:tcPr>
          <w:p w14:paraId="261C1837" w14:textId="77777777" w:rsidR="008F5D85" w:rsidRDefault="008F5D85" w:rsidP="008F5D85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8F5D85">
              <w:rPr>
                <w:rFonts w:asciiTheme="minorHAnsi" w:hAnsiTheme="minorHAnsi" w:cstheme="minorHAnsi"/>
                <w:iCs/>
                <w:sz w:val="20"/>
              </w:rPr>
              <w:t xml:space="preserve">The Proclamation fixes 30 September 2024 for the commencement of the remaining provisions of the </w:t>
            </w:r>
            <w:r w:rsidRPr="008F5D85">
              <w:rPr>
                <w:rFonts w:asciiTheme="minorHAnsi" w:hAnsiTheme="minorHAnsi" w:cstheme="minorHAnsi"/>
                <w:i/>
                <w:sz w:val="20"/>
              </w:rPr>
              <w:t>Police Powers and Responsibilities and Other Legislation Amendment Act 2024</w:t>
            </w:r>
            <w:r w:rsidRPr="008F5D85">
              <w:rPr>
                <w:rFonts w:asciiTheme="minorHAnsi" w:hAnsiTheme="minorHAnsi" w:cstheme="minorHAnsi"/>
                <w:iCs/>
                <w:sz w:val="20"/>
              </w:rPr>
              <w:t xml:space="preserve"> that are not in force. </w:t>
            </w:r>
          </w:p>
          <w:p w14:paraId="63B16D31" w14:textId="77777777" w:rsidR="008F5D85" w:rsidRPr="008F5D85" w:rsidRDefault="008F5D85" w:rsidP="008F5D85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14:paraId="1ED9B8F8" w14:textId="0D27CAB3" w:rsidR="008F5D85" w:rsidRDefault="008F5D85" w:rsidP="008F5D85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8F5D85">
              <w:rPr>
                <w:rFonts w:asciiTheme="minorHAnsi" w:hAnsiTheme="minorHAnsi" w:cstheme="minorHAnsi"/>
                <w:iCs/>
                <w:sz w:val="20"/>
              </w:rPr>
              <w:t xml:space="preserve">Part 3, Division 3 (sections 11 to 19) are the provisions that are not in force. These provisions promote the ongoing safe management of prisoners at risk of self-harm or suicide by allowing the chief executive to authorise practitioners with more diverse professional qualifications to make timely clinical assessments and recommendations about safety orders. </w:t>
            </w:r>
          </w:p>
          <w:p w14:paraId="0AB642A8" w14:textId="77777777" w:rsidR="008F5D85" w:rsidRPr="008F5D85" w:rsidRDefault="008F5D85" w:rsidP="008F5D85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14:paraId="79ACB7BA" w14:textId="2199C468" w:rsidR="00853BDD" w:rsidRPr="002429BB" w:rsidRDefault="008F5D85" w:rsidP="008F5D85">
            <w:pPr>
              <w:jc w:val="both"/>
              <w:rPr>
                <w:rFonts w:ascii="Arial" w:hAnsi="Arial" w:cs="Arial"/>
                <w:i/>
              </w:rPr>
            </w:pPr>
            <w:r w:rsidRPr="008F5D85">
              <w:rPr>
                <w:rFonts w:asciiTheme="minorHAnsi" w:hAnsiTheme="minorHAnsi" w:cstheme="minorHAnsi"/>
                <w:iCs/>
                <w:sz w:val="20"/>
              </w:rPr>
              <w:t xml:space="preserve">The Proclamation is machinery in nature as it has the effect of commencing provisions not yet in force. No further regulatory impact analysis is required under the </w:t>
            </w:r>
            <w:r w:rsidRPr="008F5D85">
              <w:rPr>
                <w:rFonts w:asciiTheme="minorHAnsi" w:hAnsiTheme="minorHAnsi" w:cstheme="minorHAnsi"/>
                <w:i/>
                <w:sz w:val="20"/>
              </w:rPr>
              <w:t>Queensland Government Better Regulation Policy.</w:t>
            </w:r>
          </w:p>
        </w:tc>
      </w:tr>
    </w:tbl>
    <w:p w14:paraId="1A2CF73E" w14:textId="77777777" w:rsidR="00C8580B" w:rsidRDefault="00C8580B" w:rsidP="00071370">
      <w:pPr>
        <w:spacing w:before="60" w:after="60"/>
        <w:ind w:left="-567"/>
        <w:rPr>
          <w:rFonts w:ascii="Arial" w:hAnsi="Arial" w:cs="Arial"/>
          <w:bCs/>
          <w:sz w:val="20"/>
        </w:rPr>
      </w:pPr>
    </w:p>
    <w:p w14:paraId="4B7FD16D" w14:textId="7E39155D" w:rsidR="008F5D85" w:rsidRPr="008F5D85" w:rsidRDefault="008F5D85" w:rsidP="008F5D85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  <w:r w:rsidRPr="008F5D85">
        <w:rPr>
          <w:rFonts w:ascii="Arial" w:eastAsia="Yu Gothic Light" w:hAnsi="Arial" w:cs="Arial"/>
          <w:bCs/>
          <w:sz w:val="20"/>
        </w:rPr>
        <w:t xml:space="preserve">*Refer to </w:t>
      </w:r>
      <w:r w:rsidRPr="008F5D85">
        <w:rPr>
          <w:rFonts w:ascii="Arial" w:eastAsia="Yu Gothic Light" w:hAnsi="Arial" w:cs="Arial"/>
          <w:bCs/>
          <w:i/>
          <w:iCs/>
          <w:sz w:val="20"/>
          <w:u w:val="single"/>
        </w:rPr>
        <w:t>The</w:t>
      </w:r>
      <w:r w:rsidRPr="008F5D85">
        <w:rPr>
          <w:rFonts w:ascii="Arial" w:eastAsia="Yu Gothic Light" w:hAnsi="Arial" w:cs="Arial"/>
          <w:bCs/>
          <w:i/>
          <w:iCs/>
          <w:sz w:val="20"/>
        </w:rPr>
        <w:t xml:space="preserve"> </w:t>
      </w:r>
      <w:r w:rsidRPr="008F5D85">
        <w:rPr>
          <w:rFonts w:ascii="Arial" w:eastAsia="Yu Gothic Light" w:hAnsi="Arial" w:cs="Arial"/>
          <w:bCs/>
          <w:i/>
          <w:iCs/>
          <w:sz w:val="20"/>
          <w:u w:val="single"/>
        </w:rPr>
        <w:t>Queensland Government</w:t>
      </w:r>
      <w:r w:rsidRPr="008F5D85">
        <w:rPr>
          <w:rFonts w:ascii="Arial" w:eastAsia="Yu Gothic Light" w:hAnsi="Arial" w:cs="Arial"/>
          <w:bCs/>
          <w:i/>
          <w:iCs/>
          <w:sz w:val="20"/>
        </w:rPr>
        <w:t xml:space="preserve"> </w:t>
      </w:r>
      <w:r w:rsidRPr="008F5D85">
        <w:rPr>
          <w:rFonts w:ascii="Arial" w:eastAsia="Yu Gothic Light" w:hAnsi="Arial" w:cs="Arial"/>
          <w:bCs/>
          <w:i/>
          <w:iCs/>
          <w:sz w:val="20"/>
          <w:u w:val="single"/>
        </w:rPr>
        <w:t>Better Regulation Policy</w:t>
      </w:r>
      <w:r w:rsidRPr="008F5D85">
        <w:rPr>
          <w:rFonts w:ascii="Arial" w:eastAsia="Yu Gothic Light" w:hAnsi="Arial" w:cs="Arial"/>
          <w:bCs/>
          <w:i/>
          <w:iCs/>
          <w:sz w:val="20"/>
        </w:rPr>
        <w:t xml:space="preserve"> </w:t>
      </w:r>
      <w:r w:rsidRPr="008F5D85">
        <w:rPr>
          <w:rFonts w:ascii="Arial" w:eastAsia="Yu Gothic Light" w:hAnsi="Arial" w:cs="Arial"/>
          <w:bCs/>
          <w:sz w:val="20"/>
        </w:rPr>
        <w:t>for regulatory proposals not requiring regulatory impact analysis (for example, public</w:t>
      </w:r>
      <w:r>
        <w:rPr>
          <w:rFonts w:ascii="Arial" w:eastAsia="Yu Gothic Light" w:hAnsi="Arial" w:cs="Arial"/>
          <w:bCs/>
          <w:sz w:val="20"/>
        </w:rPr>
        <w:t xml:space="preserve"> </w:t>
      </w:r>
      <w:r w:rsidRPr="008F5D85">
        <w:rPr>
          <w:rFonts w:ascii="Arial" w:eastAsia="Yu Gothic Light" w:hAnsi="Arial" w:cs="Arial"/>
          <w:bCs/>
          <w:sz w:val="20"/>
        </w:rPr>
        <w:t>sector management, changes to existing criminal laws, taxation).</w:t>
      </w:r>
    </w:p>
    <w:p w14:paraId="01922E0D" w14:textId="77777777" w:rsidR="008F5D85" w:rsidRPr="008F5D85" w:rsidRDefault="008F5D85" w:rsidP="008F5D85">
      <w:pPr>
        <w:spacing w:before="60" w:after="60"/>
        <w:ind w:left="-567"/>
        <w:rPr>
          <w:rFonts w:ascii="Arial" w:eastAsia="Yu Gothic Light" w:hAnsi="Arial" w:cs="Arial"/>
          <w:b/>
          <w:bCs/>
          <w:sz w:val="20"/>
        </w:rPr>
      </w:pPr>
      <w:r w:rsidRPr="008F5D85">
        <w:rPr>
          <w:rFonts w:ascii="Arial" w:eastAsia="Yu Gothic Light" w:hAnsi="Arial" w:cs="Arial"/>
          <w:b/>
          <w:bCs/>
          <w:sz w:val="20"/>
        </w:rPr>
        <w:t>Signed</w:t>
      </w:r>
    </w:p>
    <w:p w14:paraId="4579BDC6" w14:textId="77777777" w:rsidR="00C8580B" w:rsidRPr="00BA5A02" w:rsidRDefault="00C8580B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FC001F4" w14:textId="77777777" w:rsidR="00BF3414" w:rsidRDefault="00BF3414" w:rsidP="005664EE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7A535565" w14:textId="77777777" w:rsidR="00B3361F" w:rsidRPr="00BA5A02" w:rsidRDefault="00B3361F" w:rsidP="005664EE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68B8FE1A" w14:textId="77777777" w:rsidR="005664EE" w:rsidRPr="00AA5DED" w:rsidRDefault="005664EE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..................................................</w:t>
      </w:r>
      <w:r w:rsidRPr="00AA5DED">
        <w:rPr>
          <w:rFonts w:ascii="Arial" w:hAnsi="Arial" w:cs="Arial"/>
          <w:sz w:val="20"/>
          <w:szCs w:val="22"/>
        </w:rPr>
        <w:tab/>
        <w:t>..................................................</w:t>
      </w:r>
    </w:p>
    <w:p w14:paraId="1BF917B8" w14:textId="2CFF3832" w:rsidR="005664EE" w:rsidRPr="00AA5DED" w:rsidRDefault="00971070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 xml:space="preserve">Steve </w:t>
      </w:r>
      <w:proofErr w:type="spellStart"/>
      <w:r w:rsidRPr="00AA5DED">
        <w:rPr>
          <w:rFonts w:ascii="Arial" w:hAnsi="Arial" w:cs="Arial"/>
          <w:sz w:val="20"/>
          <w:szCs w:val="22"/>
        </w:rPr>
        <w:t>Gollschewski</w:t>
      </w:r>
      <w:proofErr w:type="spellEnd"/>
      <w:r w:rsidR="004E6141">
        <w:rPr>
          <w:rFonts w:ascii="Arial" w:hAnsi="Arial" w:cs="Arial"/>
          <w:sz w:val="20"/>
          <w:szCs w:val="22"/>
        </w:rPr>
        <w:t xml:space="preserve"> APM</w:t>
      </w:r>
      <w:r w:rsidR="005664EE" w:rsidRPr="00AA5DED">
        <w:rPr>
          <w:rFonts w:ascii="Arial" w:hAnsi="Arial" w:cs="Arial"/>
          <w:sz w:val="20"/>
          <w:szCs w:val="22"/>
        </w:rPr>
        <w:tab/>
        <w:t>Mark Ryan MP</w:t>
      </w:r>
    </w:p>
    <w:p w14:paraId="3E0FB361" w14:textId="14BAC6C0" w:rsidR="005664EE" w:rsidRPr="00AA5DED" w:rsidRDefault="005664EE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Commissioner</w:t>
      </w:r>
      <w:r w:rsidRPr="00AA5DED">
        <w:rPr>
          <w:rFonts w:ascii="Arial" w:hAnsi="Arial" w:cs="Arial"/>
          <w:sz w:val="20"/>
          <w:szCs w:val="22"/>
        </w:rPr>
        <w:tab/>
        <w:t xml:space="preserve">Minister for Police and </w:t>
      </w:r>
      <w:r w:rsidR="00971070" w:rsidRPr="00AA5DED">
        <w:rPr>
          <w:rFonts w:ascii="Arial" w:hAnsi="Arial" w:cs="Arial"/>
          <w:sz w:val="20"/>
          <w:szCs w:val="22"/>
        </w:rPr>
        <w:t>Community Safety</w:t>
      </w:r>
    </w:p>
    <w:p w14:paraId="7B61594A" w14:textId="26D4A6E7" w:rsidR="005664EE" w:rsidRPr="00AA5DED" w:rsidRDefault="005664EE" w:rsidP="005664EE">
      <w:pPr>
        <w:tabs>
          <w:tab w:val="left" w:pos="7938"/>
          <w:tab w:val="left" w:pos="9026"/>
        </w:tabs>
        <w:ind w:left="5245" w:hanging="5812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Queensland Police Service</w:t>
      </w:r>
      <w:r w:rsidRPr="00AA5DED">
        <w:rPr>
          <w:rFonts w:ascii="Arial" w:hAnsi="Arial" w:cs="Arial"/>
          <w:sz w:val="20"/>
          <w:szCs w:val="22"/>
        </w:rPr>
        <w:tab/>
      </w:r>
    </w:p>
    <w:p w14:paraId="60AB6FE8" w14:textId="77777777" w:rsidR="005664EE" w:rsidRPr="00AA5DED" w:rsidRDefault="005664EE" w:rsidP="005664EE">
      <w:pPr>
        <w:tabs>
          <w:tab w:val="left" w:pos="6663"/>
          <w:tab w:val="left" w:pos="7938"/>
        </w:tabs>
        <w:ind w:left="-567"/>
        <w:rPr>
          <w:rFonts w:ascii="Arial" w:hAnsi="Arial" w:cs="Arial"/>
          <w:sz w:val="20"/>
          <w:szCs w:val="22"/>
        </w:rPr>
      </w:pPr>
    </w:p>
    <w:p w14:paraId="2BF0F338" w14:textId="77777777" w:rsidR="005664EE" w:rsidRPr="00AA5DED" w:rsidRDefault="005664EE" w:rsidP="005664EE">
      <w:pPr>
        <w:tabs>
          <w:tab w:val="left" w:pos="6521"/>
          <w:tab w:val="left" w:pos="7938"/>
        </w:tabs>
        <w:ind w:left="-567"/>
        <w:rPr>
          <w:rFonts w:ascii="Arial" w:hAnsi="Arial" w:cs="Arial"/>
          <w:b/>
          <w:sz w:val="20"/>
          <w:szCs w:val="22"/>
          <w:u w:val="single"/>
        </w:rPr>
      </w:pPr>
      <w:r w:rsidRPr="00AA5DED">
        <w:rPr>
          <w:rFonts w:ascii="Arial" w:hAnsi="Arial" w:cs="Arial"/>
          <w:sz w:val="20"/>
          <w:szCs w:val="22"/>
        </w:rPr>
        <w:t>Date:</w:t>
      </w:r>
      <w:r w:rsidRPr="00AA5DED">
        <w:rPr>
          <w:rFonts w:ascii="Arial" w:hAnsi="Arial" w:cs="Arial"/>
          <w:sz w:val="20"/>
          <w:szCs w:val="22"/>
        </w:rPr>
        <w:tab/>
        <w:t>Date:</w:t>
      </w:r>
    </w:p>
    <w:sectPr w:rsidR="005664EE" w:rsidRPr="00AA5DED" w:rsidSect="0079598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27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79A5" w14:textId="77777777" w:rsidR="005C1012" w:rsidRDefault="005C1012" w:rsidP="00421CC3">
      <w:r>
        <w:separator/>
      </w:r>
    </w:p>
    <w:p w14:paraId="64D66F3A" w14:textId="77777777" w:rsidR="005C1012" w:rsidRDefault="005C1012"/>
  </w:endnote>
  <w:endnote w:type="continuationSeparator" w:id="0">
    <w:p w14:paraId="76AE8D30" w14:textId="77777777" w:rsidR="005C1012" w:rsidRDefault="005C1012" w:rsidP="00421CC3">
      <w:r>
        <w:continuationSeparator/>
      </w:r>
    </w:p>
    <w:p w14:paraId="216B525E" w14:textId="77777777" w:rsidR="005C1012" w:rsidRDefault="005C1012"/>
  </w:endnote>
  <w:endnote w:type="continuationNotice" w:id="1">
    <w:p w14:paraId="142736F0" w14:textId="77777777" w:rsidR="005C1012" w:rsidRDefault="005C1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ermStart w:id="2019823129" w:edGrp="everyone" w:colFirst="1" w:colLast="1"/>
        <w:permStart w:id="1674532431" w:edGrp="everyone" w:colFirst="2" w:colLast="2"/>
        <w:p w14:paraId="69A770DE" w14:textId="7F3C0D5E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06B75">
                <w:t>Impact Analysis Statement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6192" behindDoc="1" locked="0" layoutInCell="1" allowOverlap="1" wp14:anchorId="15E6855D" wp14:editId="7DEE246D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permEnd w:id="2019823129"/>
    <w:permEnd w:id="1674532431"/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EB6C" w14:textId="77777777" w:rsidR="005C1012" w:rsidRDefault="005C1012" w:rsidP="00FD2073">
      <w:pPr>
        <w:spacing w:after="20"/>
        <w:ind w:right="284"/>
      </w:pPr>
      <w:r>
        <w:separator/>
      </w:r>
    </w:p>
  </w:footnote>
  <w:footnote w:type="continuationSeparator" w:id="0">
    <w:p w14:paraId="50FCC795" w14:textId="77777777" w:rsidR="005C1012" w:rsidRDefault="005C1012" w:rsidP="00FD2073">
      <w:pPr>
        <w:spacing w:after="20"/>
      </w:pPr>
      <w:r>
        <w:continuationSeparator/>
      </w:r>
    </w:p>
  </w:footnote>
  <w:footnote w:type="continuationNotice" w:id="1">
    <w:p w14:paraId="5D38BD34" w14:textId="77777777" w:rsidR="005C1012" w:rsidRDefault="005C1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55B7" w14:textId="5D7EA35F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1F32088C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577A05D6" w:rsidR="00180419" w:rsidRPr="00C57F6E" w:rsidRDefault="002E4980" w:rsidP="00716960"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7052019C" wp14:editId="42CE4306">
          <wp:simplePos x="0" y="0"/>
          <wp:positionH relativeFrom="margin">
            <wp:align>center</wp:align>
          </wp:positionH>
          <wp:positionV relativeFrom="page">
            <wp:posOffset>367030</wp:posOffset>
          </wp:positionV>
          <wp:extent cx="6525260" cy="571500"/>
          <wp:effectExtent l="0" t="0" r="889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6"/>
                  <a:stretch/>
                </pic:blipFill>
                <pic:spPr bwMode="auto">
                  <a:xfrm>
                    <a:off x="0" y="0"/>
                    <a:ext cx="6528769" cy="57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39AE00" wp14:editId="535234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3CD0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9A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1D83CD0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3C35" w14:textId="58786E73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4E45D8"/>
    <w:multiLevelType w:val="hybridMultilevel"/>
    <w:tmpl w:val="40349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7DD0"/>
    <w:multiLevelType w:val="hybridMultilevel"/>
    <w:tmpl w:val="BC56D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F02"/>
    <w:multiLevelType w:val="hybridMultilevel"/>
    <w:tmpl w:val="16644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02596"/>
    <w:multiLevelType w:val="hybridMultilevel"/>
    <w:tmpl w:val="44246C42"/>
    <w:lvl w:ilvl="0" w:tplc="32F2FCB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2D7"/>
    <w:multiLevelType w:val="hybridMultilevel"/>
    <w:tmpl w:val="CB3068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AC2101"/>
    <w:multiLevelType w:val="hybridMultilevel"/>
    <w:tmpl w:val="A01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F6577B"/>
    <w:multiLevelType w:val="hybridMultilevel"/>
    <w:tmpl w:val="B330E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63FE1"/>
    <w:multiLevelType w:val="hybridMultilevel"/>
    <w:tmpl w:val="C172A47A"/>
    <w:lvl w:ilvl="0" w:tplc="5F48EC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4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67975DBA"/>
    <w:multiLevelType w:val="hybridMultilevel"/>
    <w:tmpl w:val="FF6E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6FE5"/>
    <w:multiLevelType w:val="hybridMultilevel"/>
    <w:tmpl w:val="AE8CA25C"/>
    <w:lvl w:ilvl="0" w:tplc="4DF0732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6E395D7E"/>
    <w:multiLevelType w:val="hybridMultilevel"/>
    <w:tmpl w:val="0C9E53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5848">
    <w:abstractNumId w:val="2"/>
  </w:num>
  <w:num w:numId="2" w16cid:durableId="1733039028">
    <w:abstractNumId w:val="1"/>
  </w:num>
  <w:num w:numId="3" w16cid:durableId="1688216604">
    <w:abstractNumId w:val="5"/>
  </w:num>
  <w:num w:numId="4" w16cid:durableId="786706365">
    <w:abstractNumId w:val="24"/>
  </w:num>
  <w:num w:numId="5" w16cid:durableId="193079424">
    <w:abstractNumId w:val="9"/>
  </w:num>
  <w:num w:numId="6" w16cid:durableId="1257058655">
    <w:abstractNumId w:val="4"/>
  </w:num>
  <w:num w:numId="7" w16cid:durableId="860512968">
    <w:abstractNumId w:val="30"/>
  </w:num>
  <w:num w:numId="8" w16cid:durableId="1887371371">
    <w:abstractNumId w:val="23"/>
  </w:num>
  <w:num w:numId="9" w16cid:durableId="989750140">
    <w:abstractNumId w:val="26"/>
  </w:num>
  <w:num w:numId="10" w16cid:durableId="672151676">
    <w:abstractNumId w:val="17"/>
  </w:num>
  <w:num w:numId="11" w16cid:durableId="401224691">
    <w:abstractNumId w:val="19"/>
  </w:num>
  <w:num w:numId="12" w16cid:durableId="2066877033">
    <w:abstractNumId w:val="0"/>
  </w:num>
  <w:num w:numId="13" w16cid:durableId="755054368">
    <w:abstractNumId w:val="21"/>
  </w:num>
  <w:num w:numId="14" w16cid:durableId="541985227">
    <w:abstractNumId w:val="20"/>
  </w:num>
  <w:num w:numId="15" w16cid:durableId="1310672451">
    <w:abstractNumId w:val="13"/>
  </w:num>
  <w:num w:numId="16" w16cid:durableId="13658691">
    <w:abstractNumId w:val="25"/>
  </w:num>
  <w:num w:numId="17" w16cid:durableId="757797854">
    <w:abstractNumId w:val="16"/>
  </w:num>
  <w:num w:numId="18" w16cid:durableId="1856767163">
    <w:abstractNumId w:val="22"/>
  </w:num>
  <w:num w:numId="19" w16cid:durableId="1538353740">
    <w:abstractNumId w:val="11"/>
  </w:num>
  <w:num w:numId="20" w16cid:durableId="512185243">
    <w:abstractNumId w:val="15"/>
  </w:num>
  <w:num w:numId="21" w16cid:durableId="1919436789">
    <w:abstractNumId w:val="18"/>
  </w:num>
  <w:num w:numId="22" w16cid:durableId="1342929054">
    <w:abstractNumId w:val="8"/>
  </w:num>
  <w:num w:numId="23" w16cid:durableId="1559168371">
    <w:abstractNumId w:val="3"/>
  </w:num>
  <w:num w:numId="24" w16cid:durableId="14575933">
    <w:abstractNumId w:val="6"/>
  </w:num>
  <w:num w:numId="25" w16cid:durableId="1997949711">
    <w:abstractNumId w:val="29"/>
  </w:num>
  <w:num w:numId="26" w16cid:durableId="2080202791">
    <w:abstractNumId w:val="14"/>
  </w:num>
  <w:num w:numId="27" w16cid:durableId="1810827712">
    <w:abstractNumId w:val="28"/>
  </w:num>
  <w:num w:numId="28" w16cid:durableId="1012494661">
    <w:abstractNumId w:val="10"/>
  </w:num>
  <w:num w:numId="29" w16cid:durableId="697508181">
    <w:abstractNumId w:val="27"/>
  </w:num>
  <w:num w:numId="30" w16cid:durableId="1993025563">
    <w:abstractNumId w:val="12"/>
  </w:num>
  <w:num w:numId="31" w16cid:durableId="38418725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9I81+QeR5U3Me+nlbl9XCL8FnaosJtm6UDUu05wVlZMtD8FZdon3MYspWQbkKUTVX22BvSOVt+ZIPgXzofKpw==" w:salt="t+ZgrFKHgto405CI0IRlv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0B6B"/>
    <w:rsid w:val="000618A6"/>
    <w:rsid w:val="0006290B"/>
    <w:rsid w:val="00067D69"/>
    <w:rsid w:val="00070065"/>
    <w:rsid w:val="00070F7A"/>
    <w:rsid w:val="00071370"/>
    <w:rsid w:val="0007264E"/>
    <w:rsid w:val="00072B87"/>
    <w:rsid w:val="000738AF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B1213"/>
    <w:rsid w:val="000B14A6"/>
    <w:rsid w:val="000B1EDB"/>
    <w:rsid w:val="000B4F9E"/>
    <w:rsid w:val="000B633F"/>
    <w:rsid w:val="000C2FD1"/>
    <w:rsid w:val="000C3789"/>
    <w:rsid w:val="000C3B85"/>
    <w:rsid w:val="000C4A5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D60B2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379B"/>
    <w:rsid w:val="00103933"/>
    <w:rsid w:val="00104D90"/>
    <w:rsid w:val="00104E82"/>
    <w:rsid w:val="00105E2D"/>
    <w:rsid w:val="00106523"/>
    <w:rsid w:val="0011488B"/>
    <w:rsid w:val="00115043"/>
    <w:rsid w:val="00115FDF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0A7E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4DFE"/>
    <w:rsid w:val="00206983"/>
    <w:rsid w:val="00206AE0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29BB"/>
    <w:rsid w:val="002461E9"/>
    <w:rsid w:val="00247774"/>
    <w:rsid w:val="00251981"/>
    <w:rsid w:val="00252DA7"/>
    <w:rsid w:val="00254B6D"/>
    <w:rsid w:val="0025796C"/>
    <w:rsid w:val="00261888"/>
    <w:rsid w:val="002620A0"/>
    <w:rsid w:val="0026223D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ACB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12AD"/>
    <w:rsid w:val="003A2CD5"/>
    <w:rsid w:val="003A3886"/>
    <w:rsid w:val="003A5E88"/>
    <w:rsid w:val="003A68F7"/>
    <w:rsid w:val="003A7869"/>
    <w:rsid w:val="003A7A8C"/>
    <w:rsid w:val="003B0D5F"/>
    <w:rsid w:val="003B1871"/>
    <w:rsid w:val="003B5A99"/>
    <w:rsid w:val="003B7A6A"/>
    <w:rsid w:val="003B7EC9"/>
    <w:rsid w:val="003C103A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FFE"/>
    <w:rsid w:val="003F4FF2"/>
    <w:rsid w:val="003F6197"/>
    <w:rsid w:val="003F67F3"/>
    <w:rsid w:val="0040154D"/>
    <w:rsid w:val="00402277"/>
    <w:rsid w:val="00402874"/>
    <w:rsid w:val="004040EC"/>
    <w:rsid w:val="004043C2"/>
    <w:rsid w:val="00406050"/>
    <w:rsid w:val="00407736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077E"/>
    <w:rsid w:val="00452AB9"/>
    <w:rsid w:val="00454341"/>
    <w:rsid w:val="004561B1"/>
    <w:rsid w:val="0045760D"/>
    <w:rsid w:val="00457A8A"/>
    <w:rsid w:val="0046215F"/>
    <w:rsid w:val="00462F0C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21F0"/>
    <w:rsid w:val="00483217"/>
    <w:rsid w:val="00484274"/>
    <w:rsid w:val="004861B5"/>
    <w:rsid w:val="00490A1E"/>
    <w:rsid w:val="004936D2"/>
    <w:rsid w:val="00496D2B"/>
    <w:rsid w:val="0049717C"/>
    <w:rsid w:val="004A06F6"/>
    <w:rsid w:val="004A21CF"/>
    <w:rsid w:val="004A3B46"/>
    <w:rsid w:val="004A3C38"/>
    <w:rsid w:val="004B01D8"/>
    <w:rsid w:val="004B2773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3CD7"/>
    <w:rsid w:val="004E48FD"/>
    <w:rsid w:val="004E6141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4705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A4B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AC2"/>
    <w:rsid w:val="00553B9D"/>
    <w:rsid w:val="00556056"/>
    <w:rsid w:val="00556202"/>
    <w:rsid w:val="00556E95"/>
    <w:rsid w:val="00557069"/>
    <w:rsid w:val="00557AA3"/>
    <w:rsid w:val="00560815"/>
    <w:rsid w:val="005633CF"/>
    <w:rsid w:val="0056394B"/>
    <w:rsid w:val="00563FE5"/>
    <w:rsid w:val="005664EE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6ABA"/>
    <w:rsid w:val="005B705E"/>
    <w:rsid w:val="005B71A9"/>
    <w:rsid w:val="005C1012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4643"/>
    <w:rsid w:val="005E5562"/>
    <w:rsid w:val="005E589A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36EF5"/>
    <w:rsid w:val="007404E4"/>
    <w:rsid w:val="00741703"/>
    <w:rsid w:val="00742D62"/>
    <w:rsid w:val="007431AB"/>
    <w:rsid w:val="007449CF"/>
    <w:rsid w:val="00745E10"/>
    <w:rsid w:val="00746AD0"/>
    <w:rsid w:val="00747F9F"/>
    <w:rsid w:val="00750385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5984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35775"/>
    <w:rsid w:val="00836402"/>
    <w:rsid w:val="0084040F"/>
    <w:rsid w:val="00840630"/>
    <w:rsid w:val="00840997"/>
    <w:rsid w:val="008419CC"/>
    <w:rsid w:val="00844EFA"/>
    <w:rsid w:val="00850F6D"/>
    <w:rsid w:val="00851257"/>
    <w:rsid w:val="00853BDD"/>
    <w:rsid w:val="0085479E"/>
    <w:rsid w:val="00854AE3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6D1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5D85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280C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28B"/>
    <w:rsid w:val="00953AE1"/>
    <w:rsid w:val="00956F0B"/>
    <w:rsid w:val="009603F7"/>
    <w:rsid w:val="0096496E"/>
    <w:rsid w:val="009704E2"/>
    <w:rsid w:val="00970F86"/>
    <w:rsid w:val="00971070"/>
    <w:rsid w:val="00971B47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8B1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884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07AEF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5DED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1024B"/>
    <w:rsid w:val="00B1075D"/>
    <w:rsid w:val="00B12160"/>
    <w:rsid w:val="00B12211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61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457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2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5F0"/>
    <w:rsid w:val="00BD2912"/>
    <w:rsid w:val="00BD2D3A"/>
    <w:rsid w:val="00BD300C"/>
    <w:rsid w:val="00BD45E3"/>
    <w:rsid w:val="00BD4D6B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D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3FB3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50F5"/>
    <w:rsid w:val="00C8580B"/>
    <w:rsid w:val="00C85ADE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B9E"/>
    <w:rsid w:val="00CF5CF1"/>
    <w:rsid w:val="00CF7D80"/>
    <w:rsid w:val="00D011DB"/>
    <w:rsid w:val="00D04C0E"/>
    <w:rsid w:val="00D05D6E"/>
    <w:rsid w:val="00D06B75"/>
    <w:rsid w:val="00D105CA"/>
    <w:rsid w:val="00D11BD1"/>
    <w:rsid w:val="00D1358B"/>
    <w:rsid w:val="00D13F9D"/>
    <w:rsid w:val="00D15555"/>
    <w:rsid w:val="00D1739A"/>
    <w:rsid w:val="00D20EDD"/>
    <w:rsid w:val="00D212AA"/>
    <w:rsid w:val="00D218E9"/>
    <w:rsid w:val="00D218F7"/>
    <w:rsid w:val="00D239C6"/>
    <w:rsid w:val="00D279D8"/>
    <w:rsid w:val="00D3197B"/>
    <w:rsid w:val="00D37506"/>
    <w:rsid w:val="00D37DCB"/>
    <w:rsid w:val="00D41822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613D"/>
    <w:rsid w:val="00D9719E"/>
    <w:rsid w:val="00DA1F54"/>
    <w:rsid w:val="00DA2FCD"/>
    <w:rsid w:val="00DA6A55"/>
    <w:rsid w:val="00DB10D3"/>
    <w:rsid w:val="00DB246E"/>
    <w:rsid w:val="00DB40CC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E86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DF49A7"/>
    <w:rsid w:val="00E000B4"/>
    <w:rsid w:val="00E00DE2"/>
    <w:rsid w:val="00E01BED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1F4A"/>
    <w:rsid w:val="00F23C2F"/>
    <w:rsid w:val="00F25D8A"/>
    <w:rsid w:val="00F31198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3BEB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35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3456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30C5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0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aliases w:val="LAQ Bullets,List Paragraph11,bullet point list,Bullet point,Bulleted Para,NFP GP Bulleted List,FooterText,numbered,Paragraphe de liste1,Bulletr List Paragraph,列出段落,列出段落1,List Paragraph2,List Paragraph21,Listeafsnit1,リスト段落1,Bullets"/>
    <w:basedOn w:val="Normal"/>
    <w:link w:val="ListParagraphChar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2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1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15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16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17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19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ListParagraphChar">
    <w:name w:val="List Paragraph Char"/>
    <w:aliases w:val="LAQ Bullets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rsid w:val="0095328B"/>
    <w:rPr>
      <w:rFonts w:ascii="Calibri" w:eastAsia="Times New Roman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109e6-cc51-4dcd-ab3e-08ec63dc8c13">
      <Terms xmlns="http://schemas.microsoft.com/office/infopath/2007/PartnerControls"/>
    </lcf76f155ced4ddcb4097134ff3c332f>
    <TaxCatchAll xmlns="d58a780f-e6b8-4db1-8768-ce30730315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9E8F438D6944FB4093AB7B3B3FF9A" ma:contentTypeVersion="16" ma:contentTypeDescription="Create a new document." ma:contentTypeScope="" ma:versionID="4a73a369f00ad9feea86152db990fc92">
  <xsd:schema xmlns:xsd="http://www.w3.org/2001/XMLSchema" xmlns:xs="http://www.w3.org/2001/XMLSchema" xmlns:p="http://schemas.microsoft.com/office/2006/metadata/properties" xmlns:ns2="237109e6-cc51-4dcd-ab3e-08ec63dc8c13" xmlns:ns3="d58a780f-e6b8-4db1-8768-ce3073031553" targetNamespace="http://schemas.microsoft.com/office/2006/metadata/properties" ma:root="true" ma:fieldsID="eea6fa0142a7f784f3f885b6fd9c753c" ns2:_="" ns3:_="">
    <xsd:import namespace="237109e6-cc51-4dcd-ab3e-08ec63dc8c13"/>
    <xsd:import namespace="d58a780f-e6b8-4db1-8768-ce3073031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109e6-cc51-4dcd-ab3e-08ec63dc8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780f-e6b8-4db1-8768-ce3073031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423dad9-2b11-4cd5-91d9-eadd28230277}" ma:internalName="TaxCatchAll" ma:showField="CatchAllData" ma:web="d58a780f-e6b8-4db1-8768-ce3073031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06B39-1E2A-4179-A44E-915B454948FA}">
  <ds:schemaRefs>
    <ds:schemaRef ds:uri="http://schemas.microsoft.com/office/2006/metadata/properties"/>
    <ds:schemaRef ds:uri="http://schemas.microsoft.com/office/infopath/2007/PartnerControls"/>
    <ds:schemaRef ds:uri="237109e6-cc51-4dcd-ab3e-08ec63dc8c13"/>
    <ds:schemaRef ds:uri="d58a780f-e6b8-4db1-8768-ce3073031553"/>
  </ds:schemaRefs>
</ds:datastoreItem>
</file>

<file path=customXml/itemProps4.xml><?xml version="1.0" encoding="utf-8"?>
<ds:datastoreItem xmlns:ds="http://schemas.openxmlformats.org/officeDocument/2006/customXml" ds:itemID="{E38052F0-D143-41F8-A64E-781F460A6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109e6-cc51-4dcd-ab3e-08ec63dc8c13"/>
    <ds:schemaRef ds:uri="d58a780f-e6b8-4db1-8768-ce307303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Analysis Statement</Company>
  <LinksUpToDate>false</LinksUpToDate>
  <CharactersWithSpaces>1750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Sergiacomi.MarcoN[CCE]</cp:lastModifiedBy>
  <cp:revision>5</cp:revision>
  <cp:lastPrinted>2021-09-19T04:49:00Z</cp:lastPrinted>
  <dcterms:created xsi:type="dcterms:W3CDTF">2024-09-19T05:11:00Z</dcterms:created>
  <dcterms:modified xsi:type="dcterms:W3CDTF">2024-09-20T00:22:00Z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0x0101007017ADB7E64309419A76E2FD7B6BF554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  <property fmtid="{D5CDD505-2E9C-101B-9397-08002B2CF9AE}" pid="20" name="QTRetainTaxHTField">
    <vt:lpwstr>Record|2584089d-4b41-46ae-ad46-8a9fb08e05f7</vt:lpwstr>
  </property>
  <property fmtid="{D5CDD505-2E9C-101B-9397-08002B2CF9AE}" pid="21" name="QTDocumentId">
    <vt:lpwstr/>
  </property>
  <property fmtid="{D5CDD505-2E9C-101B-9397-08002B2CF9AE}" pid="22" name="QTBusinessOwnerTaxHTField">
    <vt:lpwstr>Strategic Communications|39585e78-966e-45fb-9e52-abd7492dbf3c</vt:lpwstr>
  </property>
  <property fmtid="{D5CDD505-2E9C-101B-9397-08002B2CF9AE}" pid="23" name="Category">
    <vt:lpwstr/>
  </property>
  <property fmtid="{D5CDD505-2E9C-101B-9397-08002B2CF9AE}" pid="24" name="QTActivityTaxHTField">
    <vt:lpwstr>Communication project|18252056-aa18-4866-8e72-ec85a3248cf9</vt:lpwstr>
  </property>
  <property fmtid="{D5CDD505-2E9C-101B-9397-08002B2CF9AE}" pid="25" name="QTSecurityClassificationTaxHTField">
    <vt:lpwstr>OFFICIAL|f67802d0-e2d2-455e-bfc4-106d673b036c</vt:lpwstr>
  </property>
  <property fmtid="{D5CDD505-2E9C-101B-9397-08002B2CF9AE}" pid="26" name="Meta data">
    <vt:lpwstr/>
  </property>
  <property fmtid="{D5CDD505-2E9C-101B-9397-08002B2CF9AE}" pid="27" name="lcf76f155ced4ddcb4097134ff3c332f">
    <vt:lpwstr/>
  </property>
  <property fmtid="{D5CDD505-2E9C-101B-9397-08002B2CF9AE}" pid="28" name="TaxCatchAll">
    <vt:lpwstr/>
  </property>
</Properties>
</file>